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E19" w:rsidRDefault="003B7E19" w:rsidP="003B7E19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3B7E19" w:rsidRDefault="003B7E19" w:rsidP="003B7E19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3B7E19" w:rsidRPr="003F5F82" w:rsidRDefault="003B7E19" w:rsidP="003B7E19">
      <w:pPr>
        <w:jc w:val="both"/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  <w:r w:rsidRPr="003F5F82">
        <w:rPr>
          <w:rFonts w:ascii="Arial" w:eastAsia="Arial" w:hAnsi="Arial" w:cs="Arial"/>
          <w:b/>
          <w:sz w:val="24"/>
          <w:szCs w:val="24"/>
        </w:rPr>
        <w:t>COMPROMISO CONTRACTUAL 02.</w:t>
      </w:r>
      <w:r w:rsidRPr="003F5F82">
        <w:rPr>
          <w:rFonts w:ascii="Arial" w:hAnsi="Arial" w:cs="Arial"/>
          <w:color w:val="000000"/>
          <w:sz w:val="24"/>
          <w:szCs w:val="24"/>
        </w:rPr>
        <w:t xml:space="preserve"> Identificar, clasificar y analizar los proyectos de </w:t>
      </w:r>
      <w:proofErr w:type="spellStart"/>
      <w:r w:rsidRPr="003F5F82">
        <w:rPr>
          <w:rFonts w:ascii="Arial" w:hAnsi="Arial" w:cs="Arial"/>
          <w:color w:val="000000"/>
          <w:sz w:val="24"/>
          <w:szCs w:val="24"/>
        </w:rPr>
        <w:t>CTel</w:t>
      </w:r>
      <w:proofErr w:type="spellEnd"/>
      <w:r w:rsidRPr="003F5F82">
        <w:rPr>
          <w:rFonts w:ascii="Arial" w:hAnsi="Arial" w:cs="Arial"/>
          <w:color w:val="000000"/>
          <w:sz w:val="24"/>
          <w:szCs w:val="24"/>
        </w:rPr>
        <w:t xml:space="preserve"> aprobados, financiados y ejecutados a través del Sistema General de Regalías (SGR) en el cuatrienio 2020-2023 y lo identificados durante el cuatrienio 2024 -2027 diferenciando los recursos propios de cada departamento, los provenientes de las regiones OCAD y los asignados mediante convocatorias especiales para ciencia, tecnología e innovación con impacto en la mejora tecnológica y la competitividad del territorio.</w:t>
      </w:r>
    </w:p>
    <w:p w:rsidR="003B7E19" w:rsidRPr="00890730" w:rsidRDefault="003B7E19" w:rsidP="003B7E19">
      <w:pPr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890730">
        <w:rPr>
          <w:rFonts w:ascii="Arial" w:eastAsia="Times New Roman" w:hAnsi="Arial" w:cs="Arial"/>
          <w:b/>
          <w:color w:val="000000"/>
          <w:sz w:val="24"/>
          <w:szCs w:val="24"/>
        </w:rPr>
        <w:t xml:space="preserve">EVIDENCIAS DE LAS ACTIVIDADES REALIZADAS: </w:t>
      </w:r>
    </w:p>
    <w:p w:rsidR="003B7E19" w:rsidRPr="00890730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890730">
        <w:rPr>
          <w:rFonts w:ascii="Arial" w:eastAsia="Times New Roman" w:hAnsi="Arial" w:cs="Arial"/>
          <w:bCs/>
          <w:color w:val="000000"/>
          <w:sz w:val="24"/>
          <w:szCs w:val="24"/>
        </w:rPr>
        <w:t>Para este periodo el contratista realizo el análisis de la información suministrada por los entes territoriales de acuerdo a lo solicitado mediante oficio.</w:t>
      </w:r>
    </w:p>
    <w:p w:rsidR="003B7E19" w:rsidRPr="00890730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3B7E19" w:rsidRPr="00890730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90730">
        <w:rPr>
          <w:rFonts w:ascii="Arial" w:hAnsi="Arial" w:cs="Arial"/>
          <w:sz w:val="24"/>
          <w:szCs w:val="24"/>
        </w:rPr>
        <w:t>A partir de la implementación de la Ley 2056 de 2020, sobre el Sistema General de Regalías (SGR) y reglamentada por el Decreto 1821 de 2020, se modificó sustancialmente la forma en que se asignan y ejecutan los recursos destinados a proyectos de Ciencia, Tecnología e innovación (</w:t>
      </w:r>
      <w:proofErr w:type="spellStart"/>
      <w:r w:rsidRPr="00890730">
        <w:rPr>
          <w:rFonts w:ascii="Arial" w:hAnsi="Arial" w:cs="Arial"/>
          <w:sz w:val="24"/>
          <w:szCs w:val="24"/>
        </w:rPr>
        <w:t>CTel</w:t>
      </w:r>
      <w:proofErr w:type="spellEnd"/>
      <w:r w:rsidRPr="00890730">
        <w:rPr>
          <w:rFonts w:ascii="Arial" w:hAnsi="Arial" w:cs="Arial"/>
          <w:sz w:val="24"/>
          <w:szCs w:val="24"/>
        </w:rPr>
        <w:t xml:space="preserve">). A partir de esta Ley, los departamentos dejaron de tener autonomía directa para la financiación de este tipo de proyectos orientados a la ciencia, tecnología e innovación. En su lugar, el mismo 10% del total del recaudo del SGR destinado a </w:t>
      </w:r>
      <w:proofErr w:type="spellStart"/>
      <w:r w:rsidRPr="00890730">
        <w:rPr>
          <w:rFonts w:ascii="Arial" w:hAnsi="Arial" w:cs="Arial"/>
          <w:sz w:val="24"/>
          <w:szCs w:val="24"/>
        </w:rPr>
        <w:t>CTel</w:t>
      </w:r>
      <w:proofErr w:type="spellEnd"/>
      <w:r w:rsidRPr="00890730">
        <w:rPr>
          <w:rFonts w:ascii="Arial" w:hAnsi="Arial" w:cs="Arial"/>
          <w:sz w:val="24"/>
          <w:szCs w:val="24"/>
        </w:rPr>
        <w:t>, ahora es administrado por el Ministerio de Ciencia, Tecnología e innovación, mediante la formulación y ejecución de planes bienales de convocatorias competitivas.</w:t>
      </w:r>
    </w:p>
    <w:p w:rsidR="003B7E19" w:rsidRPr="00890730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90730">
        <w:rPr>
          <w:rFonts w:ascii="Arial" w:hAnsi="Arial" w:cs="Arial"/>
          <w:sz w:val="24"/>
          <w:szCs w:val="24"/>
        </w:rPr>
        <w:t>Estos planes bienales se estructuran a partir de demandas territoriales previamente concertadas a través de mesas de trabajo departamentales, donde se identifican las prioridades en materia de desarrollo científico y tecnológico con impacto en la mejora de la competitividad del territorio. Las convocatorias se diseñan en función de dichas demandas y se asignan de forma progresiva según la priorización establecida.</w:t>
      </w:r>
    </w:p>
    <w:p w:rsidR="003B7E19" w:rsidRPr="003F5F82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90730">
        <w:rPr>
          <w:rFonts w:ascii="Arial" w:hAnsi="Arial" w:cs="Arial"/>
          <w:sz w:val="24"/>
          <w:szCs w:val="24"/>
        </w:rPr>
        <w:t xml:space="preserve">Durante el cuatrienio 2020-2023 y en el marco de la nueva Ley 2056 de 2020, los proyectos de </w:t>
      </w:r>
      <w:proofErr w:type="spellStart"/>
      <w:r w:rsidRPr="00890730">
        <w:rPr>
          <w:rFonts w:ascii="Arial" w:hAnsi="Arial" w:cs="Arial"/>
          <w:sz w:val="24"/>
          <w:szCs w:val="24"/>
        </w:rPr>
        <w:t>CTel</w:t>
      </w:r>
      <w:proofErr w:type="spellEnd"/>
      <w:r w:rsidRPr="00890730">
        <w:rPr>
          <w:rFonts w:ascii="Arial" w:hAnsi="Arial" w:cs="Arial"/>
          <w:sz w:val="24"/>
          <w:szCs w:val="24"/>
        </w:rPr>
        <w:t xml:space="preserve"> fueron tramitados (aprobados, financiados y ejecutados) exclusivamente a través de estas convocatorias, y no mediante asignaciones directas desde los entes territoriales u </w:t>
      </w:r>
      <w:r>
        <w:rPr>
          <w:rFonts w:ascii="Arial" w:hAnsi="Arial" w:cs="Arial"/>
          <w:sz w:val="24"/>
          <w:szCs w:val="24"/>
        </w:rPr>
        <w:t>OCAD</w:t>
      </w:r>
      <w:r w:rsidRPr="00890730">
        <w:rPr>
          <w:rFonts w:ascii="Arial" w:hAnsi="Arial" w:cs="Arial"/>
          <w:sz w:val="24"/>
          <w:szCs w:val="24"/>
        </w:rPr>
        <w:t xml:space="preserve"> regionales, como se hacía en periodos anteriores.</w:t>
      </w:r>
    </w:p>
    <w:p w:rsidR="003B7E19" w:rsidRPr="003F5F82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7E19" w:rsidRPr="003F5F82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5F82">
        <w:rPr>
          <w:rFonts w:ascii="Arial" w:hAnsi="Arial" w:cs="Arial"/>
          <w:sz w:val="24"/>
          <w:szCs w:val="24"/>
        </w:rPr>
        <w:t>Del mismo modo, en el cuatrienio 2024-2027, la identificación y formulación de proyectos continúa realizándose bajo esta misma lógica de articulación con un mayor énfasis en lo regional y planificación centralizada desde el Ministerio de Ciencias.</w:t>
      </w:r>
    </w:p>
    <w:p w:rsidR="003B7E19" w:rsidRPr="003F5F82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5F82">
        <w:rPr>
          <w:rFonts w:ascii="Arial" w:hAnsi="Arial" w:cs="Arial"/>
          <w:sz w:val="24"/>
          <w:szCs w:val="24"/>
        </w:rPr>
        <w:t xml:space="preserve">En ese sentido, tanto los proyectos identificados como los financiados y ejecutados a través del SGR, ya sea mediante convocatorias especiales o dentro del marco de los planes bienales, responden a una política pública orientada a generar impactos concretos en el desarrollo tecnológico y la competitividad regional, garantizando transparencia, equidad y pertinencia en la inversión de los recursos del SGR destinados a </w:t>
      </w:r>
      <w:proofErr w:type="spellStart"/>
      <w:r w:rsidRPr="003F5F82">
        <w:rPr>
          <w:rFonts w:ascii="Arial" w:hAnsi="Arial" w:cs="Arial"/>
          <w:sz w:val="24"/>
          <w:szCs w:val="24"/>
        </w:rPr>
        <w:t>CTel</w:t>
      </w:r>
      <w:proofErr w:type="spellEnd"/>
      <w:r w:rsidRPr="003F5F82">
        <w:rPr>
          <w:rFonts w:ascii="Arial" w:hAnsi="Arial" w:cs="Arial"/>
          <w:sz w:val="24"/>
          <w:szCs w:val="24"/>
        </w:rPr>
        <w:t>.</w:t>
      </w:r>
    </w:p>
    <w:p w:rsidR="003B7E19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5F82">
        <w:rPr>
          <w:rFonts w:ascii="Arial" w:hAnsi="Arial" w:cs="Arial"/>
          <w:sz w:val="24"/>
          <w:szCs w:val="24"/>
        </w:rPr>
        <w:lastRenderedPageBreak/>
        <w:t>Conforme a ello, actualmente la Gobernación de Risaralda hace parte de 52 alianzas en las siguientes convocatorias y que aún están en proceso de selección, evaluación y aprobación:</w:t>
      </w:r>
    </w:p>
    <w:p w:rsidR="003B7E19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7E19" w:rsidRPr="00645B0F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45B0F">
        <w:rPr>
          <w:rFonts w:ascii="Arial" w:hAnsi="Arial" w:cs="Arial"/>
          <w:b/>
          <w:sz w:val="24"/>
          <w:szCs w:val="24"/>
        </w:rPr>
        <w:t>Gobernación de Risaralda</w:t>
      </w:r>
    </w:p>
    <w:p w:rsidR="003B7E19" w:rsidRPr="003F5F82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7E19" w:rsidRPr="003F5F82" w:rsidRDefault="003B7E19" w:rsidP="003B7E19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3F5F82">
        <w:rPr>
          <w:rFonts w:ascii="Arial" w:eastAsia="Times New Roman" w:hAnsi="Arial" w:cs="Arial"/>
          <w:bCs/>
          <w:color w:val="000000"/>
          <w:sz w:val="24"/>
          <w:szCs w:val="24"/>
        </w:rPr>
        <w:t>Convocatoria No. 37 Macro proyectos Nacionales (7 alianzas)</w:t>
      </w:r>
    </w:p>
    <w:p w:rsidR="003B7E19" w:rsidRPr="003F5F82" w:rsidRDefault="003B7E19" w:rsidP="003B7E19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3F5F82">
        <w:rPr>
          <w:rFonts w:ascii="Arial" w:eastAsia="Times New Roman" w:hAnsi="Arial" w:cs="Arial"/>
          <w:bCs/>
          <w:color w:val="000000"/>
          <w:sz w:val="24"/>
          <w:szCs w:val="24"/>
        </w:rPr>
        <w:t>Convocatoria No. 38 Garantizar la seguridad sanitaria, la salud y el</w:t>
      </w:r>
    </w:p>
    <w:p w:rsidR="003B7E19" w:rsidRPr="003F5F82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3F5F8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               bienestar de la población en el territorio nacional (7 alianzas)</w:t>
      </w:r>
    </w:p>
    <w:p w:rsidR="003B7E19" w:rsidRPr="003F5F82" w:rsidRDefault="003B7E19" w:rsidP="003B7E19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3F5F82">
        <w:rPr>
          <w:rFonts w:ascii="Arial" w:eastAsia="Times New Roman" w:hAnsi="Arial" w:cs="Arial"/>
          <w:bCs/>
          <w:color w:val="000000"/>
          <w:sz w:val="24"/>
          <w:szCs w:val="24"/>
        </w:rPr>
        <w:t>Convocatoria No. 39 Poner fin a todas las formas de violencia (9 alianzas)</w:t>
      </w:r>
    </w:p>
    <w:p w:rsidR="003B7E19" w:rsidRPr="003F5F82" w:rsidRDefault="003B7E19" w:rsidP="003B7E19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3F5F82">
        <w:rPr>
          <w:rFonts w:ascii="Arial" w:eastAsia="Times New Roman" w:hAnsi="Arial" w:cs="Arial"/>
          <w:bCs/>
          <w:color w:val="000000"/>
          <w:sz w:val="24"/>
          <w:szCs w:val="24"/>
        </w:rPr>
        <w:t>Convocatoria No.40 Asegurar la generación, acceso y uso de energías</w:t>
      </w:r>
    </w:p>
    <w:p w:rsidR="003B7E19" w:rsidRPr="003F5F82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3F5F8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              sostenibles para todos (3 alianzas)</w:t>
      </w:r>
    </w:p>
    <w:p w:rsidR="003B7E19" w:rsidRPr="003F5F82" w:rsidRDefault="003B7E19" w:rsidP="003B7E19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3F5F82">
        <w:rPr>
          <w:rFonts w:ascii="Arial" w:eastAsia="Times New Roman" w:hAnsi="Arial" w:cs="Arial"/>
          <w:bCs/>
          <w:color w:val="000000"/>
          <w:sz w:val="24"/>
          <w:szCs w:val="24"/>
        </w:rPr>
        <w:t>Convocatoria No. 4't Garantizar la Soberanía Alimentaria y el Derecho a</w:t>
      </w:r>
    </w:p>
    <w:p w:rsidR="003B7E19" w:rsidRPr="003F5F82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3F5F8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              la Alimentación (9 alianzas)</w:t>
      </w:r>
    </w:p>
    <w:p w:rsidR="003B7E19" w:rsidRPr="003F5F82" w:rsidRDefault="003B7E19" w:rsidP="003B7E19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3F5F82">
        <w:rPr>
          <w:rFonts w:ascii="Arial" w:eastAsia="Times New Roman" w:hAnsi="Arial" w:cs="Arial"/>
          <w:bCs/>
          <w:color w:val="000000"/>
          <w:sz w:val="24"/>
          <w:szCs w:val="24"/>
        </w:rPr>
        <w:t>Convocatoria No. 42 Convergencia Regional y Ordenamiento territorial (5</w:t>
      </w:r>
    </w:p>
    <w:p w:rsidR="003B7E19" w:rsidRPr="003F5F82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3F5F8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              alianzas)</w:t>
      </w:r>
    </w:p>
    <w:p w:rsidR="003B7E19" w:rsidRPr="003F5F82" w:rsidRDefault="003B7E19" w:rsidP="003B7E19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3F5F82">
        <w:rPr>
          <w:rFonts w:ascii="Arial" w:eastAsia="Times New Roman" w:hAnsi="Arial" w:cs="Arial"/>
          <w:bCs/>
          <w:color w:val="000000"/>
          <w:sz w:val="24"/>
          <w:szCs w:val="24"/>
        </w:rPr>
        <w:t>Convocatoria No. 43 Aprovechar el conocimiento, conservación y uso</w:t>
      </w:r>
    </w:p>
    <w:p w:rsidR="003B7E19" w:rsidRPr="003F5F82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3F5F8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              sostenible de la biodiversidad, bienes y servicios </w:t>
      </w:r>
      <w:proofErr w:type="spellStart"/>
      <w:r w:rsidRPr="003F5F82">
        <w:rPr>
          <w:rFonts w:ascii="Arial" w:eastAsia="Times New Roman" w:hAnsi="Arial" w:cs="Arial"/>
          <w:bCs/>
          <w:color w:val="000000"/>
          <w:sz w:val="24"/>
          <w:szCs w:val="24"/>
        </w:rPr>
        <w:t>ecosistémicos</w:t>
      </w:r>
      <w:proofErr w:type="spellEnd"/>
      <w:r w:rsidRPr="003F5F8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(12</w:t>
      </w:r>
    </w:p>
    <w:p w:rsidR="003B7E19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3F5F8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              alianzas)</w:t>
      </w:r>
    </w:p>
    <w:p w:rsidR="003B7E19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3B7E19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3F5F82">
        <w:rPr>
          <w:rFonts w:ascii="Arial" w:hAnsi="Arial" w:cs="Arial"/>
          <w:sz w:val="24"/>
          <w:szCs w:val="24"/>
        </w:rPr>
        <w:t>De las anteriores, en las convocatorias 39,40,41, 42y 43 la gobernación como aliado tiene mínimo un proyecto con la primera opción de aprobación' la 37 está en proceso de evaluación y la 38 hay un proyecto como tercera opción.</w:t>
      </w:r>
    </w:p>
    <w:p w:rsidR="003B7E19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3B7E19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C52B61">
        <w:rPr>
          <w:rFonts w:ascii="Arial" w:eastAsia="Times New Roman" w:hAnsi="Arial" w:cs="Arial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150577FE" wp14:editId="0DD8F65C">
            <wp:simplePos x="0" y="0"/>
            <wp:positionH relativeFrom="margin">
              <wp:posOffset>-635</wp:posOffset>
            </wp:positionH>
            <wp:positionV relativeFrom="paragraph">
              <wp:posOffset>7508875</wp:posOffset>
            </wp:positionV>
            <wp:extent cx="5612130" cy="1582420"/>
            <wp:effectExtent l="0" t="0" r="7620" b="0"/>
            <wp:wrapTight wrapText="bothSides">
              <wp:wrapPolygon edited="0">
                <wp:start x="0" y="0"/>
                <wp:lineTo x="0" y="21323"/>
                <wp:lineTo x="21556" y="21323"/>
                <wp:lineTo x="21556" y="0"/>
                <wp:lineTo x="0" y="0"/>
              </wp:wrapPolygon>
            </wp:wrapTight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8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52B61">
        <w:rPr>
          <w:rFonts w:ascii="Arial" w:eastAsia="Times New Roman" w:hAnsi="Arial" w:cs="Arial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576FEBE8" wp14:editId="7BB9FDDE">
            <wp:simplePos x="0" y="0"/>
            <wp:positionH relativeFrom="margin">
              <wp:posOffset>-635</wp:posOffset>
            </wp:positionH>
            <wp:positionV relativeFrom="paragraph">
              <wp:posOffset>3824605</wp:posOffset>
            </wp:positionV>
            <wp:extent cx="5612130" cy="3684270"/>
            <wp:effectExtent l="0" t="0" r="7620" b="0"/>
            <wp:wrapTight wrapText="bothSides">
              <wp:wrapPolygon edited="0">
                <wp:start x="0" y="0"/>
                <wp:lineTo x="0" y="21444"/>
                <wp:lineTo x="21556" y="21444"/>
                <wp:lineTo x="21556" y="0"/>
                <wp:lineTo x="0" y="0"/>
              </wp:wrapPolygon>
            </wp:wrapTight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84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0165">
        <w:rPr>
          <w:rFonts w:ascii="Arial" w:eastAsia="Times New Roman" w:hAnsi="Arial" w:cs="Arial"/>
          <w:b/>
          <w:bCs/>
          <w:color w:val="000000"/>
          <w:sz w:val="24"/>
          <w:szCs w:val="24"/>
        </w:rPr>
        <w:t>Gobernación del Quindío</w:t>
      </w:r>
      <w:r w:rsidRPr="00C52B61">
        <w:rPr>
          <w:rFonts w:ascii="Arial" w:eastAsia="Times New Roman" w:hAnsi="Arial" w:cs="Arial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94D1EA4" wp14:editId="0E9D5020">
            <wp:simplePos x="0" y="0"/>
            <wp:positionH relativeFrom="margin">
              <wp:posOffset>-635</wp:posOffset>
            </wp:positionH>
            <wp:positionV relativeFrom="paragraph">
              <wp:posOffset>349885</wp:posOffset>
            </wp:positionV>
            <wp:extent cx="5612130" cy="3498850"/>
            <wp:effectExtent l="0" t="0" r="7620" b="6350"/>
            <wp:wrapTight wrapText="bothSides">
              <wp:wrapPolygon edited="0">
                <wp:start x="0" y="0"/>
                <wp:lineTo x="0" y="21522"/>
                <wp:lineTo x="21556" y="21522"/>
                <wp:lineTo x="21556" y="0"/>
                <wp:lineTo x="0" y="0"/>
              </wp:wrapPolygon>
            </wp:wrapTight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98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3B7E19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3B7E19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3B7E19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3B7E19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3B7E19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3B7E19" w:rsidRPr="008F3ED6" w:rsidRDefault="003B7E19" w:rsidP="003B7E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C52B61">
        <w:rPr>
          <w:rFonts w:ascii="Arial" w:eastAsia="Times New Roman" w:hAnsi="Arial" w:cs="Arial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4417873C" wp14:editId="55ABD7B2">
            <wp:simplePos x="0" y="0"/>
            <wp:positionH relativeFrom="margin">
              <wp:posOffset>-635</wp:posOffset>
            </wp:positionH>
            <wp:positionV relativeFrom="paragraph">
              <wp:posOffset>2173605</wp:posOffset>
            </wp:positionV>
            <wp:extent cx="5612130" cy="363855"/>
            <wp:effectExtent l="0" t="0" r="7620" b="0"/>
            <wp:wrapTight wrapText="bothSides">
              <wp:wrapPolygon edited="0">
                <wp:start x="0" y="0"/>
                <wp:lineTo x="0" y="20356"/>
                <wp:lineTo x="21556" y="20356"/>
                <wp:lineTo x="21556" y="0"/>
                <wp:lineTo x="0" y="0"/>
              </wp:wrapPolygon>
            </wp:wrapTight>
            <wp:docPr id="40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3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52B61">
        <w:rPr>
          <w:rFonts w:ascii="Arial" w:eastAsia="Times New Roman" w:hAnsi="Arial" w:cs="Arial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3C7EABC5" wp14:editId="629071D1">
            <wp:simplePos x="0" y="0"/>
            <wp:positionH relativeFrom="column">
              <wp:posOffset>-635</wp:posOffset>
            </wp:positionH>
            <wp:positionV relativeFrom="paragraph">
              <wp:posOffset>1905</wp:posOffset>
            </wp:positionV>
            <wp:extent cx="5612130" cy="2162810"/>
            <wp:effectExtent l="0" t="0" r="7620" b="8890"/>
            <wp:wrapTight wrapText="bothSides">
              <wp:wrapPolygon edited="0">
                <wp:start x="0" y="0"/>
                <wp:lineTo x="0" y="21499"/>
                <wp:lineTo x="21556" y="21499"/>
                <wp:lineTo x="21556" y="0"/>
                <wp:lineTo x="0" y="0"/>
              </wp:wrapPolygon>
            </wp:wrapTight>
            <wp:docPr id="39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6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5017" w:rsidRDefault="00BE5017"/>
    <w:sectPr w:rsidR="00BE50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C66833"/>
    <w:multiLevelType w:val="hybridMultilevel"/>
    <w:tmpl w:val="D1462254"/>
    <w:lvl w:ilvl="0" w:tplc="A420CC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E19"/>
    <w:rsid w:val="003B7E19"/>
    <w:rsid w:val="00BE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B432E"/>
  <w15:chartTrackingRefBased/>
  <w15:docId w15:val="{651AB429-99F1-43FB-9FC4-DADB5E43D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3B7E19"/>
    <w:pPr>
      <w:ind w:left="720"/>
      <w:contextualSpacing/>
    </w:pPr>
    <w:rPr>
      <w:rFonts w:ascii="Calibri" w:eastAsia="Calibri" w:hAnsi="Calibri" w:cs="Calibri"/>
      <w:lang w:val="es-ES_tradnl" w:eastAsia="es-CO"/>
    </w:rPr>
  </w:style>
  <w:style w:type="character" w:customStyle="1" w:styleId="PrrafodelistaCar">
    <w:name w:val="Párrafo de lista Car"/>
    <w:aliases w:val="Bullets Car"/>
    <w:link w:val="Prrafodelista"/>
    <w:uiPriority w:val="34"/>
    <w:rsid w:val="003B7E19"/>
    <w:rPr>
      <w:rFonts w:ascii="Calibri" w:eastAsia="Calibri" w:hAnsi="Calibri" w:cs="Calibri"/>
      <w:lang w:val="es-ES_tradnl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629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User</dc:creator>
  <cp:keywords/>
  <dc:description/>
  <cp:lastModifiedBy>Usuario User</cp:lastModifiedBy>
  <cp:revision>1</cp:revision>
  <dcterms:created xsi:type="dcterms:W3CDTF">2025-08-13T00:52:00Z</dcterms:created>
  <dcterms:modified xsi:type="dcterms:W3CDTF">2025-08-13T00:54:00Z</dcterms:modified>
</cp:coreProperties>
</file>